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46AE" w14:textId="77777777" w:rsidR="002E5953" w:rsidRDefault="002E5953" w:rsidP="00232A18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jc w:val="center"/>
        <w:rPr>
          <w:rFonts w:ascii="Open Sans" w:hAnsi="Open Sans" w:cs="Open Sans"/>
          <w:b/>
          <w:bCs/>
          <w:sz w:val="28"/>
          <w:szCs w:val="28"/>
          <w:u w:val="single"/>
          <w:lang w:val="it-IT"/>
        </w:rPr>
      </w:pPr>
    </w:p>
    <w:p w14:paraId="058E677E" w14:textId="77777777" w:rsidR="00F25601" w:rsidRPr="00643802" w:rsidRDefault="00643802" w:rsidP="00232A18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jc w:val="center"/>
        <w:rPr>
          <w:rFonts w:ascii="Open Sans" w:hAnsi="Open Sans" w:cs="Open Sans"/>
          <w:b/>
          <w:bCs/>
          <w:sz w:val="36"/>
          <w:szCs w:val="36"/>
          <w:lang w:val="it-IT"/>
        </w:rPr>
      </w:pPr>
      <w:r w:rsidRPr="00643802">
        <w:rPr>
          <w:rFonts w:ascii="Open Sans" w:hAnsi="Open Sans" w:cs="Open Sans"/>
          <w:b/>
          <w:bCs/>
          <w:sz w:val="36"/>
          <w:szCs w:val="36"/>
          <w:lang w:val="it-IT"/>
        </w:rPr>
        <w:t>COMUNICATO</w:t>
      </w:r>
      <w:r w:rsidR="00F25601" w:rsidRPr="00643802">
        <w:rPr>
          <w:rFonts w:ascii="Open Sans" w:hAnsi="Open Sans" w:cs="Open Sans"/>
          <w:b/>
          <w:bCs/>
          <w:sz w:val="36"/>
          <w:szCs w:val="36"/>
          <w:lang w:val="it-IT"/>
        </w:rPr>
        <w:t xml:space="preserve"> </w:t>
      </w:r>
      <w:r w:rsidR="003900A2" w:rsidRPr="00643802">
        <w:rPr>
          <w:rFonts w:ascii="Open Sans" w:hAnsi="Open Sans" w:cs="Open Sans"/>
          <w:b/>
          <w:bCs/>
          <w:sz w:val="36"/>
          <w:szCs w:val="36"/>
          <w:lang w:val="it-IT"/>
        </w:rPr>
        <w:t>STAMPA</w:t>
      </w:r>
    </w:p>
    <w:p w14:paraId="4324FDED" w14:textId="77777777" w:rsidR="00575520" w:rsidRPr="00CC00C9" w:rsidRDefault="00575520" w:rsidP="00232A18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jc w:val="center"/>
        <w:rPr>
          <w:rFonts w:ascii="Open Sans" w:hAnsi="Open Sans" w:cs="Open Sans"/>
          <w:b/>
          <w:bCs/>
          <w:u w:val="single"/>
          <w:lang w:val="it-IT"/>
        </w:rPr>
      </w:pPr>
    </w:p>
    <w:p w14:paraId="7D2E4CED" w14:textId="77777777" w:rsidR="00920FF8" w:rsidRPr="00F25601" w:rsidRDefault="00920FF8" w:rsidP="00575520">
      <w:pPr>
        <w:tabs>
          <w:tab w:val="left" w:pos="288"/>
          <w:tab w:val="left" w:pos="1008"/>
          <w:tab w:val="left" w:pos="1728"/>
          <w:tab w:val="left" w:pos="3119"/>
          <w:tab w:val="left" w:pos="3888"/>
          <w:tab w:val="left" w:pos="5328"/>
          <w:tab w:val="left" w:pos="6048"/>
          <w:tab w:val="left" w:pos="6768"/>
        </w:tabs>
        <w:ind w:left="142"/>
        <w:rPr>
          <w:rFonts w:ascii="Open Sans" w:hAnsi="Open Sans" w:cs="Open Sans"/>
          <w:b/>
          <w:bCs/>
          <w:sz w:val="22"/>
          <w:szCs w:val="22"/>
          <w:u w:val="single"/>
          <w:lang w:val="it-IT"/>
        </w:rPr>
      </w:pPr>
    </w:p>
    <w:p w14:paraId="7CBCB582" w14:textId="77777777" w:rsidR="002400B5" w:rsidRPr="002B0FC3" w:rsidRDefault="002400B5" w:rsidP="002400B5">
      <w:pPr>
        <w:jc w:val="center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</w:pPr>
      <w:bookmarkStart w:id="0" w:name="_Hlk196232132"/>
      <w:bookmarkEnd w:id="0"/>
      <w:r w:rsidRPr="002B0FC3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>DL Infrastrutture – Consulta dei Servizi:</w:t>
      </w:r>
    </w:p>
    <w:p w14:paraId="6E8C4A10" w14:textId="003C4FAD" w:rsidR="002400B5" w:rsidRDefault="002400B5" w:rsidP="002400B5">
      <w:pPr>
        <w:jc w:val="center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</w:pPr>
      <w:r w:rsidRPr="002B0FC3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>«</w:t>
      </w:r>
      <w:r w:rsidRPr="002B0FC3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it-IT"/>
        </w:rPr>
        <w:t>Dal voto sugli emendamenti dipendono imprese e occupazio</w:t>
      </w:r>
      <w:r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it-IT"/>
        </w:rPr>
        <w:t>ne.</w:t>
      </w:r>
      <w:r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 xml:space="preserve"> </w:t>
      </w:r>
      <w:bookmarkStart w:id="1" w:name="OLE_LINK2"/>
      <w:r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 xml:space="preserve">Il Governo </w:t>
      </w:r>
      <w:r w:rsidR="0022373D"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>garantisca</w:t>
      </w:r>
      <w:r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 xml:space="preserve"> su revisione e </w:t>
      </w:r>
      <w:r w:rsidR="00C3516B"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>uniformità</w:t>
      </w:r>
      <w:r w:rsidRPr="0022373D">
        <w:rPr>
          <w:rFonts w:ascii="Open Sans" w:eastAsia="Times New Roman" w:hAnsi="Open Sans" w:cs="Open Sans"/>
          <w:b/>
          <w:bCs/>
          <w:color w:val="000000"/>
          <w:sz w:val="40"/>
          <w:szCs w:val="40"/>
          <w:lang w:val="it-IT" w:eastAsia="it-IT"/>
        </w:rPr>
        <w:t xml:space="preserve"> delle regole»</w:t>
      </w:r>
      <w:bookmarkEnd w:id="1"/>
    </w:p>
    <w:p w14:paraId="6C50001C" w14:textId="77777777" w:rsidR="00D8553E" w:rsidRPr="00F21E28" w:rsidRDefault="00D8553E" w:rsidP="002400B5">
      <w:pPr>
        <w:jc w:val="center"/>
        <w:rPr>
          <w:rFonts w:ascii="Open Sans" w:eastAsia="Times New Roman" w:hAnsi="Open Sans" w:cs="Open Sans"/>
          <w:color w:val="000000"/>
          <w:sz w:val="22"/>
          <w:szCs w:val="22"/>
          <w:lang w:val="it-IT" w:eastAsia="it-IT"/>
        </w:rPr>
      </w:pPr>
    </w:p>
    <w:p w14:paraId="1380AFAF" w14:textId="067528FE" w:rsidR="00735859" w:rsidRPr="00735859" w:rsidRDefault="006A608C" w:rsidP="00735859">
      <w:pPr>
        <w:pStyle w:val="NormaleWeb"/>
        <w:jc w:val="both"/>
        <w:rPr>
          <w:sz w:val="28"/>
          <w:szCs w:val="28"/>
        </w:rPr>
      </w:pPr>
      <w:r w:rsidRPr="006A608C">
        <w:rPr>
          <w:rStyle w:val="Enfasigrassetto"/>
          <w:rFonts w:eastAsiaTheme="majorEastAsia"/>
          <w:sz w:val="28"/>
          <w:szCs w:val="28"/>
        </w:rPr>
        <w:t xml:space="preserve">Roma, </w:t>
      </w:r>
      <w:r w:rsidR="00DB2182">
        <w:rPr>
          <w:rStyle w:val="Enfasigrassetto"/>
          <w:rFonts w:eastAsiaTheme="majorEastAsia"/>
          <w:sz w:val="28"/>
          <w:szCs w:val="28"/>
        </w:rPr>
        <w:t>1</w:t>
      </w:r>
      <w:r w:rsidR="00A46ECA">
        <w:rPr>
          <w:rStyle w:val="Enfasigrassetto"/>
          <w:rFonts w:eastAsiaTheme="majorEastAsia"/>
          <w:sz w:val="28"/>
          <w:szCs w:val="28"/>
        </w:rPr>
        <w:t>°</w:t>
      </w:r>
      <w:r w:rsidR="00DB2182">
        <w:rPr>
          <w:rStyle w:val="Enfasigrassetto"/>
          <w:rFonts w:eastAsiaTheme="majorEastAsia"/>
          <w:sz w:val="28"/>
          <w:szCs w:val="28"/>
        </w:rPr>
        <w:t xml:space="preserve"> luglio </w:t>
      </w:r>
      <w:r w:rsidRPr="006A608C">
        <w:rPr>
          <w:rStyle w:val="Enfasigrassetto"/>
          <w:rFonts w:eastAsiaTheme="majorEastAsia"/>
          <w:sz w:val="28"/>
          <w:szCs w:val="28"/>
        </w:rPr>
        <w:t>2025</w:t>
      </w:r>
      <w:r w:rsidRPr="006A608C">
        <w:rPr>
          <w:sz w:val="28"/>
          <w:szCs w:val="28"/>
        </w:rPr>
        <w:t xml:space="preserve"> –</w:t>
      </w:r>
      <w:r w:rsidR="00DE01CF">
        <w:rPr>
          <w:sz w:val="28"/>
          <w:szCs w:val="28"/>
        </w:rPr>
        <w:t xml:space="preserve"> </w:t>
      </w:r>
      <w:r w:rsidR="00735859" w:rsidRPr="00735859">
        <w:rPr>
          <w:sz w:val="28"/>
          <w:szCs w:val="28"/>
        </w:rPr>
        <w:t>La Consulta dei Servizi, che rappresenta 19 associazioni nazionali e 4 filiere, accoglie con interesse gli emendamenti al Decreto Infrastrutture (A.C. 2416), in particolare quelli che intervengono su due aspetti cruciali per il futuro della ristorazione collettiva e dei servizi pubblici: la revisione ordinaria obbligatoria dei prezzi e una maggiore uniformità nelle regole degli appalti di servizi e forniture.</w:t>
      </w:r>
    </w:p>
    <w:p w14:paraId="4AE08C43" w14:textId="1413116D" w:rsidR="00735859" w:rsidRPr="00735859" w:rsidRDefault="00735859" w:rsidP="00735859">
      <w:pPr>
        <w:pStyle w:val="NormaleWeb"/>
        <w:jc w:val="both"/>
        <w:rPr>
          <w:sz w:val="28"/>
          <w:szCs w:val="28"/>
        </w:rPr>
      </w:pPr>
      <w:r w:rsidRPr="00735859">
        <w:rPr>
          <w:sz w:val="28"/>
          <w:szCs w:val="28"/>
        </w:rPr>
        <w:t xml:space="preserve">La richiesta è chiara: serve un meccanismo stabile e strutturale per la revisione dei prezzi, a tutela delle imprese, dei lavoratori e dei cittadini. Le soglie attuali del 5% si sono </w:t>
      </w:r>
      <w:r w:rsidRPr="0022373D">
        <w:rPr>
          <w:sz w:val="28"/>
          <w:szCs w:val="28"/>
        </w:rPr>
        <w:t xml:space="preserve">dimostrate insufficienti, soprattutto nei contratti pluriennali di settori ad alta intensità di </w:t>
      </w:r>
      <w:r w:rsidR="002B0FC3" w:rsidRPr="0022373D">
        <w:rPr>
          <w:sz w:val="28"/>
          <w:szCs w:val="28"/>
        </w:rPr>
        <w:t>manodopera</w:t>
      </w:r>
      <w:r w:rsidRPr="0022373D">
        <w:rPr>
          <w:sz w:val="28"/>
          <w:szCs w:val="28"/>
        </w:rPr>
        <w:t xml:space="preserve"> e funzione</w:t>
      </w:r>
      <w:r w:rsidRPr="00735859">
        <w:rPr>
          <w:sz w:val="28"/>
          <w:szCs w:val="28"/>
        </w:rPr>
        <w:t xml:space="preserve"> pubblica, come la ristorazione collettiva.</w:t>
      </w:r>
    </w:p>
    <w:p w14:paraId="2371CF51" w14:textId="5B53F14B" w:rsidR="00735859" w:rsidRDefault="00735859" w:rsidP="00735859">
      <w:pPr>
        <w:pStyle w:val="NormaleWeb"/>
        <w:jc w:val="both"/>
        <w:rPr>
          <w:sz w:val="28"/>
          <w:szCs w:val="28"/>
        </w:rPr>
      </w:pPr>
      <w:r w:rsidRPr="00735859">
        <w:rPr>
          <w:sz w:val="28"/>
          <w:szCs w:val="28"/>
        </w:rPr>
        <w:t xml:space="preserve">Nel corso dell'evento "Con i </w:t>
      </w:r>
      <w:r w:rsidR="00973D91">
        <w:rPr>
          <w:sz w:val="28"/>
          <w:szCs w:val="28"/>
        </w:rPr>
        <w:t>S</w:t>
      </w:r>
      <w:r w:rsidRPr="00735859">
        <w:rPr>
          <w:sz w:val="28"/>
          <w:szCs w:val="28"/>
        </w:rPr>
        <w:t xml:space="preserve">ervizi </w:t>
      </w:r>
      <w:r w:rsidR="00973D91">
        <w:rPr>
          <w:sz w:val="28"/>
          <w:szCs w:val="28"/>
        </w:rPr>
        <w:t>C</w:t>
      </w:r>
      <w:r w:rsidRPr="00735859">
        <w:rPr>
          <w:sz w:val="28"/>
          <w:szCs w:val="28"/>
        </w:rPr>
        <w:t>resce l’Italia", la Consulta ha presentato uno studio economico che evidenzia l’inefficacia della soglia del 5% e la necessità di ridurla al 3%, attivando la revisione automatica dei prezzi senza impatti significativi sulla spesa pubblica: oltre il 71% delle risorse stanziate resterebbe disponibile per le stazioni appaltanti.</w:t>
      </w:r>
    </w:p>
    <w:p w14:paraId="1F028F58" w14:textId="1EB2DFD1" w:rsidR="002400B5" w:rsidRPr="002B0FC3" w:rsidRDefault="002400B5" w:rsidP="00735859">
      <w:pPr>
        <w:pStyle w:val="NormaleWeb"/>
        <w:jc w:val="both"/>
        <w:rPr>
          <w:sz w:val="28"/>
          <w:szCs w:val="28"/>
        </w:rPr>
      </w:pPr>
      <w:r w:rsidRPr="002B0FC3">
        <w:rPr>
          <w:sz w:val="28"/>
          <w:szCs w:val="28"/>
        </w:rPr>
        <w:t>La sostenibilità del settore è oggi seriamente compromessa: se gli emendamenti non verranno approvati, migliaia di imprese rischiano di non sopravvivere e centinaia di migliaia di posti di lavoro saranno a rischio. È inaccettabile che, mentre nel settore dei lavori pubblici la soglia per attivare la revisione prezzi sia stata giustamente abbassata</w:t>
      </w:r>
      <w:r w:rsidRPr="002B0FC3">
        <w:rPr>
          <w:sz w:val="28"/>
          <w:szCs w:val="28"/>
          <w:lang w:val="en-US"/>
        </w:rPr>
        <w:t xml:space="preserve"> </w:t>
      </w:r>
      <w:r w:rsidRPr="002B0FC3">
        <w:rPr>
          <w:sz w:val="28"/>
          <w:szCs w:val="28"/>
        </w:rPr>
        <w:t>al 3%, nei servizi sia ancora ferma al 5</w:t>
      </w:r>
      <w:r w:rsidRPr="0022373D">
        <w:rPr>
          <w:sz w:val="28"/>
          <w:szCs w:val="28"/>
        </w:rPr>
        <w:t>%</w:t>
      </w:r>
      <w:r w:rsidR="00C3516B" w:rsidRPr="0022373D">
        <w:rPr>
          <w:sz w:val="28"/>
          <w:szCs w:val="28"/>
        </w:rPr>
        <w:t>. E</w:t>
      </w:r>
      <w:r w:rsidR="002B0FC3" w:rsidRPr="0022373D">
        <w:rPr>
          <w:sz w:val="28"/>
          <w:szCs w:val="28"/>
        </w:rPr>
        <w:t xml:space="preserve"> che la revisione ordinaria sia solo </w:t>
      </w:r>
      <w:r w:rsidR="002B0FC3" w:rsidRPr="0022373D">
        <w:rPr>
          <w:sz w:val="28"/>
          <w:szCs w:val="28"/>
        </w:rPr>
        <w:lastRenderedPageBreak/>
        <w:t>facoltativa</w:t>
      </w:r>
      <w:r w:rsidR="00C3516B" w:rsidRPr="0022373D">
        <w:rPr>
          <w:sz w:val="28"/>
          <w:szCs w:val="28"/>
        </w:rPr>
        <w:t>.</w:t>
      </w:r>
      <w:r w:rsidR="002B0FC3" w:rsidRPr="0022373D">
        <w:rPr>
          <w:sz w:val="28"/>
          <w:szCs w:val="28"/>
        </w:rPr>
        <w:t xml:space="preserve"> </w:t>
      </w:r>
      <w:r w:rsidR="00C3516B" w:rsidRPr="0022373D">
        <w:rPr>
          <w:sz w:val="28"/>
          <w:szCs w:val="28"/>
        </w:rPr>
        <w:t>L</w:t>
      </w:r>
      <w:r w:rsidRPr="0022373D">
        <w:rPr>
          <w:sz w:val="28"/>
          <w:szCs w:val="28"/>
        </w:rPr>
        <w:t xml:space="preserve">e imprese </w:t>
      </w:r>
      <w:r w:rsidR="00C3516B" w:rsidRPr="0022373D">
        <w:rPr>
          <w:sz w:val="28"/>
          <w:szCs w:val="28"/>
        </w:rPr>
        <w:t xml:space="preserve">sono costrette </w:t>
      </w:r>
      <w:r w:rsidRPr="0022373D">
        <w:rPr>
          <w:sz w:val="28"/>
          <w:szCs w:val="28"/>
        </w:rPr>
        <w:t>ad asso</w:t>
      </w:r>
      <w:r w:rsidRPr="002B0FC3">
        <w:rPr>
          <w:sz w:val="28"/>
          <w:szCs w:val="28"/>
        </w:rPr>
        <w:t>rbire da sole gli effetti di inflazione e rincari. È ora di superare questa evidente disparità, che penalizza imprese e lavoratori e danneggia l’intera collettività.</w:t>
      </w:r>
    </w:p>
    <w:p w14:paraId="602B1C42" w14:textId="7280386E" w:rsidR="00735859" w:rsidRPr="00735859" w:rsidRDefault="00735859" w:rsidP="00735859">
      <w:pPr>
        <w:pStyle w:val="NormaleWeb"/>
        <w:jc w:val="both"/>
        <w:rPr>
          <w:sz w:val="28"/>
          <w:szCs w:val="28"/>
        </w:rPr>
      </w:pPr>
      <w:r w:rsidRPr="00735859">
        <w:rPr>
          <w:sz w:val="28"/>
          <w:szCs w:val="28"/>
        </w:rPr>
        <w:t>«La sostenibilità dei servizi si garantisce con regole giuste e stabili», sottolinea la Consulta. «La revisione ordinaria obbligatoria è una misura di responsabilità che tutela i servizi essenziali, l’occupazione e la qualità per milioni di cittadini. Chiediamo un intervento rapido sul Codice dei Contratti, come già previsto per i lavori, senza aggravi per la spesa pubblica</w:t>
      </w:r>
      <w:r w:rsidR="003A7C4B">
        <w:rPr>
          <w:sz w:val="28"/>
          <w:szCs w:val="28"/>
        </w:rPr>
        <w:t>. Senza un intervento urgente, lo abbiamo ribadito in più circostanze, tutto il nostro settore è a forte rischio. Prima di tutto per la diminuzione della qualità dei servizi che vengono erogati</w:t>
      </w:r>
      <w:r w:rsidRPr="00735859">
        <w:rPr>
          <w:sz w:val="28"/>
          <w:szCs w:val="28"/>
        </w:rPr>
        <w:t>».</w:t>
      </w:r>
    </w:p>
    <w:p w14:paraId="70E7F4E7" w14:textId="3EC1AAA5" w:rsidR="00735859" w:rsidRPr="00735859" w:rsidRDefault="00735859" w:rsidP="00735859">
      <w:pPr>
        <w:pStyle w:val="NormaleWeb"/>
        <w:jc w:val="both"/>
        <w:rPr>
          <w:sz w:val="28"/>
          <w:szCs w:val="28"/>
        </w:rPr>
      </w:pPr>
      <w:r w:rsidRPr="00735859">
        <w:rPr>
          <w:sz w:val="28"/>
          <w:szCs w:val="28"/>
        </w:rPr>
        <w:t>Il comparto dei servizi pubblici, che comprende ristorazione collettiva, vigilanza, servizi ambientali e facility management,</w:t>
      </w:r>
      <w:r w:rsidR="00D7314C">
        <w:rPr>
          <w:sz w:val="28"/>
          <w:szCs w:val="28"/>
        </w:rPr>
        <w:t xml:space="preserve"> di welfare e sociosanitari</w:t>
      </w:r>
      <w:r w:rsidRPr="00735859">
        <w:rPr>
          <w:sz w:val="28"/>
          <w:szCs w:val="28"/>
        </w:rPr>
        <w:t xml:space="preserve"> conta oltre 23.000 imprese, un milione di addetti e un fatturato di 70 miliardi di euro, rappresentando una vera infrastruttura invisibile ma indispensabile per il Paese.</w:t>
      </w:r>
    </w:p>
    <w:p w14:paraId="02A2AE29" w14:textId="607CCC9B" w:rsidR="00DE01CF" w:rsidRPr="00DE01CF" w:rsidRDefault="00735859" w:rsidP="00735859">
      <w:pPr>
        <w:pStyle w:val="NormaleWeb"/>
        <w:jc w:val="both"/>
        <w:rPr>
          <w:sz w:val="28"/>
          <w:szCs w:val="28"/>
        </w:rPr>
      </w:pPr>
      <w:r w:rsidRPr="00735859">
        <w:rPr>
          <w:sz w:val="28"/>
          <w:szCs w:val="28"/>
        </w:rPr>
        <w:t>La Consulta continuerà il confronto con Parlamento e Governo per costruire un quadro normativo moderno, equo e sostenibile, in grado di valorizzare i servizi pubblici come motore di crescita, occupazione e coesione sociale. La recente nascita di un intergruppo parlamentare dedicato al settore, sostenuto da esponenti di maggioranza e opposizione, testimonia l'urgenza e la trasversalità del tema</w:t>
      </w:r>
    </w:p>
    <w:p w14:paraId="063D84A3" w14:textId="151E4925" w:rsidR="007128AA" w:rsidRPr="007128AA" w:rsidRDefault="00826F7E" w:rsidP="007128AA">
      <w:pPr>
        <w:pStyle w:val="NormaleWeb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7128AA" w:rsidRPr="007128AA" w:rsidSect="00920FF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A3B7" w14:textId="77777777" w:rsidR="0018284B" w:rsidRDefault="0018284B" w:rsidP="00144DB4">
      <w:r>
        <w:separator/>
      </w:r>
    </w:p>
  </w:endnote>
  <w:endnote w:type="continuationSeparator" w:id="0">
    <w:p w14:paraId="1D4620F9" w14:textId="77777777" w:rsidR="0018284B" w:rsidRDefault="0018284B" w:rsidP="0014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P DEMO - Belong Sans Light">
    <w:altName w:val="Calibri"/>
    <w:panose1 w:val="00000000000000000000"/>
    <w:charset w:val="4D"/>
    <w:family w:val="auto"/>
    <w:notTrueType/>
    <w:pitch w:val="variable"/>
    <w:sig w:usb0="00000007" w:usb1="000004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8677" w14:textId="77777777" w:rsidR="00600047" w:rsidRDefault="00600047">
    <w:pPr>
      <w:pStyle w:val="Pidipagina"/>
    </w:pPr>
    <w:r>
      <w:rPr>
        <w:noProof/>
      </w:rPr>
      <w:drawing>
        <wp:inline distT="0" distB="0" distL="0" distR="0" wp14:anchorId="45286989" wp14:editId="3A659751">
          <wp:extent cx="6682105" cy="2353310"/>
          <wp:effectExtent l="0" t="0" r="444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235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B97C7E" w14:paraId="3C677DA9" w14:textId="77777777" w:rsidTr="30B97C7E">
      <w:trPr>
        <w:trHeight w:val="300"/>
      </w:trPr>
      <w:tc>
        <w:tcPr>
          <w:tcW w:w="3210" w:type="dxa"/>
        </w:tcPr>
        <w:p w14:paraId="4BD89D1A" w14:textId="77777777" w:rsidR="30B97C7E" w:rsidRDefault="30B97C7E" w:rsidP="30B97C7E">
          <w:pPr>
            <w:pStyle w:val="Intestazione"/>
            <w:ind w:left="-115"/>
          </w:pPr>
        </w:p>
      </w:tc>
      <w:tc>
        <w:tcPr>
          <w:tcW w:w="3210" w:type="dxa"/>
        </w:tcPr>
        <w:p w14:paraId="500FC955" w14:textId="77777777" w:rsidR="30B97C7E" w:rsidRDefault="30B97C7E" w:rsidP="30B97C7E">
          <w:pPr>
            <w:pStyle w:val="Intestazione"/>
            <w:jc w:val="center"/>
          </w:pPr>
        </w:p>
      </w:tc>
      <w:tc>
        <w:tcPr>
          <w:tcW w:w="3210" w:type="dxa"/>
        </w:tcPr>
        <w:p w14:paraId="08ABA862" w14:textId="7D579D07" w:rsidR="30B97C7E" w:rsidRDefault="30B97C7E" w:rsidP="30B97C7E">
          <w:pPr>
            <w:pStyle w:val="Intestazione"/>
            <w:ind w:right="-115"/>
            <w:jc w:val="right"/>
          </w:pPr>
        </w:p>
      </w:tc>
    </w:tr>
  </w:tbl>
  <w:p w14:paraId="35F7838E" w14:textId="77777777" w:rsidR="0068262D" w:rsidRDefault="0068262D" w:rsidP="30B97C7E">
    <w:pPr>
      <w:pStyle w:val="Pidipagina"/>
      <w:rPr>
        <w:noProof/>
      </w:rPr>
    </w:pPr>
  </w:p>
  <w:p w14:paraId="5BD2A92B" w14:textId="77777777" w:rsidR="0068262D" w:rsidRDefault="0068262D" w:rsidP="30B97C7E">
    <w:pPr>
      <w:pStyle w:val="Pidipagina"/>
      <w:rPr>
        <w:noProof/>
      </w:rPr>
    </w:pPr>
  </w:p>
  <w:p w14:paraId="09033BC7" w14:textId="77777777" w:rsidR="0068262D" w:rsidRDefault="0068262D" w:rsidP="30B97C7E">
    <w:pPr>
      <w:pStyle w:val="Pidipagina"/>
      <w:rPr>
        <w:noProof/>
      </w:rPr>
    </w:pPr>
  </w:p>
  <w:p w14:paraId="07DEA9B7" w14:textId="77777777" w:rsidR="0068262D" w:rsidRDefault="0068262D" w:rsidP="30B97C7E">
    <w:pPr>
      <w:pStyle w:val="Pidipagina"/>
      <w:rPr>
        <w:noProof/>
      </w:rPr>
    </w:pPr>
  </w:p>
  <w:p w14:paraId="160A7043" w14:textId="77777777" w:rsidR="0068262D" w:rsidRDefault="0068262D" w:rsidP="30B97C7E">
    <w:pPr>
      <w:pStyle w:val="Pidipagina"/>
      <w:rPr>
        <w:noProof/>
      </w:rPr>
    </w:pPr>
  </w:p>
  <w:p w14:paraId="69414FD9" w14:textId="77777777" w:rsidR="0068262D" w:rsidRDefault="0068262D" w:rsidP="30B97C7E">
    <w:pPr>
      <w:pStyle w:val="Pidipagina"/>
      <w:rPr>
        <w:noProof/>
      </w:rPr>
    </w:pPr>
  </w:p>
  <w:p w14:paraId="07E70ED8" w14:textId="77777777" w:rsidR="0068262D" w:rsidRDefault="0068262D" w:rsidP="30B97C7E">
    <w:pPr>
      <w:pStyle w:val="Pidipagina"/>
      <w:rPr>
        <w:noProof/>
      </w:rPr>
    </w:pPr>
  </w:p>
  <w:p w14:paraId="694C8FDD" w14:textId="09A13125" w:rsidR="30B97C7E" w:rsidRDefault="0068262D" w:rsidP="30B97C7E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E381" wp14:editId="61E29D2F">
          <wp:simplePos x="0" y="0"/>
          <wp:positionH relativeFrom="margin">
            <wp:align>right</wp:align>
          </wp:positionH>
          <wp:positionV relativeFrom="page">
            <wp:posOffset>8338820</wp:posOffset>
          </wp:positionV>
          <wp:extent cx="6120130" cy="2155190"/>
          <wp:effectExtent l="0" t="0" r="0" b="0"/>
          <wp:wrapThrough wrapText="bothSides">
            <wp:wrapPolygon edited="0">
              <wp:start x="0" y="0"/>
              <wp:lineTo x="0" y="21384"/>
              <wp:lineTo x="21515" y="21384"/>
              <wp:lineTo x="21515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5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E963" w14:textId="77777777" w:rsidR="0018284B" w:rsidRDefault="0018284B" w:rsidP="00144DB4">
      <w:r>
        <w:separator/>
      </w:r>
    </w:p>
  </w:footnote>
  <w:footnote w:type="continuationSeparator" w:id="0">
    <w:p w14:paraId="251491AE" w14:textId="77777777" w:rsidR="0018284B" w:rsidRDefault="0018284B" w:rsidP="0014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563E" w14:textId="77777777" w:rsidR="00920FF8" w:rsidRDefault="00920FF8" w:rsidP="00920FF8">
    <w:pPr>
      <w:spacing w:after="86" w:line="259" w:lineRule="auto"/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</w:pP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 xml:space="preserve">CONSULTA DEI SERVIZI </w:t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  <w:t xml:space="preserve">MANIFESTO DELL’ECONOMIA DEI SERVIZI </w:t>
    </w:r>
  </w:p>
  <w:p w14:paraId="633F460A" w14:textId="77777777" w:rsidR="00920FF8" w:rsidRPr="00632428" w:rsidRDefault="00920FF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1638" w14:textId="77777777" w:rsidR="00920FF8" w:rsidRDefault="00144DB4" w:rsidP="00C62291">
    <w:pPr>
      <w:spacing w:after="86" w:line="259" w:lineRule="auto"/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</w:pP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 xml:space="preserve">CONSULTA DEI SERVIZI </w:t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</w: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ab/>
      <w:t xml:space="preserve">MANIFESTO DELL’ECONOMIA DEI SERVIZI </w:t>
    </w:r>
  </w:p>
  <w:p w14:paraId="5B3B62C5" w14:textId="77777777" w:rsidR="00144DB4" w:rsidRPr="00C62291" w:rsidRDefault="00144DB4" w:rsidP="00C62291">
    <w:pPr>
      <w:spacing w:after="86" w:line="259" w:lineRule="auto"/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</w:pPr>
    <w:r w:rsidRPr="00144DB4">
      <w:rPr>
        <w:rFonts w:ascii="Open Sans SemiBold" w:eastAsia="Calibri" w:hAnsi="Open Sans SemiBold" w:cs="Open Sans SemiBold"/>
        <w:b/>
        <w:bCs/>
        <w:color w:val="2F5597"/>
        <w:sz w:val="20"/>
        <w:szCs w:val="20"/>
        <w:lang w:val="it-IT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AC9"/>
    <w:multiLevelType w:val="hybridMultilevel"/>
    <w:tmpl w:val="ED3CAF38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F22480B"/>
    <w:multiLevelType w:val="multilevel"/>
    <w:tmpl w:val="15C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65F72"/>
    <w:multiLevelType w:val="multilevel"/>
    <w:tmpl w:val="C46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470B9"/>
    <w:multiLevelType w:val="multilevel"/>
    <w:tmpl w:val="98C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065F5"/>
    <w:multiLevelType w:val="multilevel"/>
    <w:tmpl w:val="672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30191"/>
    <w:multiLevelType w:val="multilevel"/>
    <w:tmpl w:val="AFE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30647"/>
    <w:multiLevelType w:val="multilevel"/>
    <w:tmpl w:val="1B1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20E2"/>
    <w:multiLevelType w:val="multilevel"/>
    <w:tmpl w:val="8820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040901">
    <w:abstractNumId w:val="0"/>
  </w:num>
  <w:num w:numId="2" w16cid:durableId="527138058">
    <w:abstractNumId w:val="5"/>
  </w:num>
  <w:num w:numId="3" w16cid:durableId="2038193016">
    <w:abstractNumId w:val="1"/>
  </w:num>
  <w:num w:numId="4" w16cid:durableId="1992707344">
    <w:abstractNumId w:val="2"/>
  </w:num>
  <w:num w:numId="5" w16cid:durableId="39403472">
    <w:abstractNumId w:val="3"/>
  </w:num>
  <w:num w:numId="6" w16cid:durableId="171262365">
    <w:abstractNumId w:val="6"/>
  </w:num>
  <w:num w:numId="7" w16cid:durableId="1166439946">
    <w:abstractNumId w:val="4"/>
  </w:num>
  <w:num w:numId="8" w16cid:durableId="457577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01"/>
    <w:rsid w:val="00031408"/>
    <w:rsid w:val="00031F20"/>
    <w:rsid w:val="00036F54"/>
    <w:rsid w:val="000401D7"/>
    <w:rsid w:val="000504FA"/>
    <w:rsid w:val="000653BE"/>
    <w:rsid w:val="00070CC4"/>
    <w:rsid w:val="0012186C"/>
    <w:rsid w:val="00133C26"/>
    <w:rsid w:val="00144DB4"/>
    <w:rsid w:val="0018284B"/>
    <w:rsid w:val="00197DFD"/>
    <w:rsid w:val="001C1BAD"/>
    <w:rsid w:val="001C3513"/>
    <w:rsid w:val="001C4CE4"/>
    <w:rsid w:val="001F5A20"/>
    <w:rsid w:val="0020192F"/>
    <w:rsid w:val="00215D65"/>
    <w:rsid w:val="0022373D"/>
    <w:rsid w:val="00232A18"/>
    <w:rsid w:val="002400B5"/>
    <w:rsid w:val="00264A69"/>
    <w:rsid w:val="00264AE1"/>
    <w:rsid w:val="00272D71"/>
    <w:rsid w:val="002766A5"/>
    <w:rsid w:val="002B0FC3"/>
    <w:rsid w:val="002B2381"/>
    <w:rsid w:val="002E5953"/>
    <w:rsid w:val="0030240D"/>
    <w:rsid w:val="003102B7"/>
    <w:rsid w:val="0032733B"/>
    <w:rsid w:val="0033387C"/>
    <w:rsid w:val="0033406D"/>
    <w:rsid w:val="00352A75"/>
    <w:rsid w:val="003900A2"/>
    <w:rsid w:val="003A4CE8"/>
    <w:rsid w:val="003A788E"/>
    <w:rsid w:val="003A7C4B"/>
    <w:rsid w:val="003B7AD0"/>
    <w:rsid w:val="003C045A"/>
    <w:rsid w:val="003C10F6"/>
    <w:rsid w:val="003D50E1"/>
    <w:rsid w:val="00431654"/>
    <w:rsid w:val="004566DD"/>
    <w:rsid w:val="00456F2B"/>
    <w:rsid w:val="004574C7"/>
    <w:rsid w:val="00464950"/>
    <w:rsid w:val="00493486"/>
    <w:rsid w:val="004A0D71"/>
    <w:rsid w:val="004B04EF"/>
    <w:rsid w:val="004D27CD"/>
    <w:rsid w:val="004E397A"/>
    <w:rsid w:val="0050723C"/>
    <w:rsid w:val="00526E76"/>
    <w:rsid w:val="00533233"/>
    <w:rsid w:val="00547474"/>
    <w:rsid w:val="00575520"/>
    <w:rsid w:val="00582885"/>
    <w:rsid w:val="00584FB3"/>
    <w:rsid w:val="0059767B"/>
    <w:rsid w:val="005A42D2"/>
    <w:rsid w:val="005D050B"/>
    <w:rsid w:val="00600047"/>
    <w:rsid w:val="00600D80"/>
    <w:rsid w:val="00621473"/>
    <w:rsid w:val="00632250"/>
    <w:rsid w:val="00632428"/>
    <w:rsid w:val="00643802"/>
    <w:rsid w:val="00643932"/>
    <w:rsid w:val="0067420C"/>
    <w:rsid w:val="00677309"/>
    <w:rsid w:val="0068262D"/>
    <w:rsid w:val="006938B6"/>
    <w:rsid w:val="006A608C"/>
    <w:rsid w:val="006F47B3"/>
    <w:rsid w:val="007128AA"/>
    <w:rsid w:val="00722840"/>
    <w:rsid w:val="00725189"/>
    <w:rsid w:val="00735859"/>
    <w:rsid w:val="0075171F"/>
    <w:rsid w:val="00762B10"/>
    <w:rsid w:val="007A51DF"/>
    <w:rsid w:val="007B1742"/>
    <w:rsid w:val="007B3ED4"/>
    <w:rsid w:val="007E57D3"/>
    <w:rsid w:val="007F7D03"/>
    <w:rsid w:val="00803638"/>
    <w:rsid w:val="008258D4"/>
    <w:rsid w:val="008261BD"/>
    <w:rsid w:val="00826F7E"/>
    <w:rsid w:val="00872964"/>
    <w:rsid w:val="00874156"/>
    <w:rsid w:val="008A6533"/>
    <w:rsid w:val="008E41C2"/>
    <w:rsid w:val="008E7023"/>
    <w:rsid w:val="008F030A"/>
    <w:rsid w:val="008F6288"/>
    <w:rsid w:val="00904B69"/>
    <w:rsid w:val="0091126C"/>
    <w:rsid w:val="009130BF"/>
    <w:rsid w:val="00920FF8"/>
    <w:rsid w:val="00932C37"/>
    <w:rsid w:val="00963C30"/>
    <w:rsid w:val="0096400A"/>
    <w:rsid w:val="00973D91"/>
    <w:rsid w:val="009768D5"/>
    <w:rsid w:val="00980AD9"/>
    <w:rsid w:val="0098252B"/>
    <w:rsid w:val="00996119"/>
    <w:rsid w:val="009D557D"/>
    <w:rsid w:val="009F3BA0"/>
    <w:rsid w:val="00A00139"/>
    <w:rsid w:val="00A05962"/>
    <w:rsid w:val="00A155A2"/>
    <w:rsid w:val="00A334B4"/>
    <w:rsid w:val="00A46ECA"/>
    <w:rsid w:val="00A66AAC"/>
    <w:rsid w:val="00A93C45"/>
    <w:rsid w:val="00A956F8"/>
    <w:rsid w:val="00AA63D4"/>
    <w:rsid w:val="00AB1E9B"/>
    <w:rsid w:val="00AC4DDC"/>
    <w:rsid w:val="00AE6BC8"/>
    <w:rsid w:val="00B30385"/>
    <w:rsid w:val="00B36262"/>
    <w:rsid w:val="00B50ED3"/>
    <w:rsid w:val="00B546E9"/>
    <w:rsid w:val="00B565BB"/>
    <w:rsid w:val="00B862D1"/>
    <w:rsid w:val="00BC5502"/>
    <w:rsid w:val="00BD7286"/>
    <w:rsid w:val="00BE4A2F"/>
    <w:rsid w:val="00C12195"/>
    <w:rsid w:val="00C22A0B"/>
    <w:rsid w:val="00C3109C"/>
    <w:rsid w:val="00C346B8"/>
    <w:rsid w:val="00C3516B"/>
    <w:rsid w:val="00C37294"/>
    <w:rsid w:val="00C57859"/>
    <w:rsid w:val="00C62291"/>
    <w:rsid w:val="00C82EF9"/>
    <w:rsid w:val="00C929A0"/>
    <w:rsid w:val="00CA7BCF"/>
    <w:rsid w:val="00CC00C9"/>
    <w:rsid w:val="00CD46D6"/>
    <w:rsid w:val="00CE10AD"/>
    <w:rsid w:val="00CF15D5"/>
    <w:rsid w:val="00D04517"/>
    <w:rsid w:val="00D402AB"/>
    <w:rsid w:val="00D40F3B"/>
    <w:rsid w:val="00D47313"/>
    <w:rsid w:val="00D56598"/>
    <w:rsid w:val="00D61C24"/>
    <w:rsid w:val="00D7314C"/>
    <w:rsid w:val="00D81232"/>
    <w:rsid w:val="00D82514"/>
    <w:rsid w:val="00D8553E"/>
    <w:rsid w:val="00D87DAF"/>
    <w:rsid w:val="00DA2905"/>
    <w:rsid w:val="00DB2182"/>
    <w:rsid w:val="00DD2FC2"/>
    <w:rsid w:val="00DE01CF"/>
    <w:rsid w:val="00E15E6B"/>
    <w:rsid w:val="00E34BAF"/>
    <w:rsid w:val="00E4777E"/>
    <w:rsid w:val="00E544A1"/>
    <w:rsid w:val="00E8023F"/>
    <w:rsid w:val="00E85F2E"/>
    <w:rsid w:val="00EC1C1F"/>
    <w:rsid w:val="00EC6901"/>
    <w:rsid w:val="00EE67F2"/>
    <w:rsid w:val="00EF0D94"/>
    <w:rsid w:val="00EF150D"/>
    <w:rsid w:val="00EF2BA6"/>
    <w:rsid w:val="00F00B90"/>
    <w:rsid w:val="00F039DF"/>
    <w:rsid w:val="00F138D3"/>
    <w:rsid w:val="00F21E28"/>
    <w:rsid w:val="00F25601"/>
    <w:rsid w:val="00F42892"/>
    <w:rsid w:val="00F61D20"/>
    <w:rsid w:val="00F817F9"/>
    <w:rsid w:val="00FA15FA"/>
    <w:rsid w:val="00FC5AF9"/>
    <w:rsid w:val="00FD32BF"/>
    <w:rsid w:val="00FE3BD6"/>
    <w:rsid w:val="040B01FF"/>
    <w:rsid w:val="05EA41EC"/>
    <w:rsid w:val="09BE461B"/>
    <w:rsid w:val="0E14B67C"/>
    <w:rsid w:val="11463C97"/>
    <w:rsid w:val="177ADF08"/>
    <w:rsid w:val="30B97C7E"/>
    <w:rsid w:val="3EFEF6A2"/>
    <w:rsid w:val="42348F15"/>
    <w:rsid w:val="4DC9E51C"/>
    <w:rsid w:val="4FF238EE"/>
    <w:rsid w:val="5B387512"/>
    <w:rsid w:val="64BF9463"/>
    <w:rsid w:val="669EA195"/>
    <w:rsid w:val="6A218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9358"/>
  <w15:chartTrackingRefBased/>
  <w15:docId w15:val="{8DFD36CA-DFFC-B546-A661-5D3CE55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P DEMO - Belong Sans Light" w:eastAsiaTheme="minorHAnsi" w:hAnsi="FSP DEMO - Belong Sans Light" w:cs="Calibri"/>
        <w:color w:val="000000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6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56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56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56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56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56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56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56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5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56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56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56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56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56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56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56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56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560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56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56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5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56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56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56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5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56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560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F25601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6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4D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DB4"/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4D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DB4"/>
    <w:rPr>
      <w:rFonts w:ascii="Times New Roman" w:eastAsia="Arial Unicode MS" w:hAnsi="Times New Roman" w:cs="Times New Roman"/>
      <w:color w:val="auto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6A60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A608C"/>
    <w:rPr>
      <w:b/>
      <w:bCs/>
    </w:rPr>
  </w:style>
  <w:style w:type="character" w:styleId="Enfasicorsivo">
    <w:name w:val="Emphasis"/>
    <w:basedOn w:val="Carpredefinitoparagrafo"/>
    <w:uiPriority w:val="20"/>
    <w:qFormat/>
    <w:rsid w:val="006A6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valente</dc:creator>
  <cp:keywords/>
  <dc:description/>
  <cp:lastModifiedBy>Simona Cicconi</cp:lastModifiedBy>
  <cp:revision>5</cp:revision>
  <cp:lastPrinted>2025-05-06T12:39:00Z</cp:lastPrinted>
  <dcterms:created xsi:type="dcterms:W3CDTF">2025-06-27T14:00:00Z</dcterms:created>
  <dcterms:modified xsi:type="dcterms:W3CDTF">2025-06-30T09:44:00Z</dcterms:modified>
</cp:coreProperties>
</file>